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D21D4D">
      <w:pPr>
        <w:pStyle w:val="59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TSG-RAN5 Meeting #</w:t>
      </w:r>
      <w:r>
        <w:rPr>
          <w:rFonts w:hint="eastAsia"/>
          <w:b/>
          <w:sz w:val="24"/>
          <w:highlight w:val="none"/>
          <w:lang w:val="en-US" w:eastAsia="zh-CN"/>
        </w:rPr>
        <w:t>106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sz w:val="24"/>
          <w:highlight w:val="none"/>
          <w:lang w:val="en-US" w:eastAsia="zh-CN"/>
        </w:rPr>
        <w:t>R5-250145</w:t>
      </w:r>
    </w:p>
    <w:p w14:paraId="1F35ECA8">
      <w:pPr>
        <w:pStyle w:val="59"/>
        <w:tabs>
          <w:tab w:val="right" w:pos="9639"/>
        </w:tabs>
        <w:spacing w:after="0"/>
        <w:rPr>
          <w:rFonts w:hint="eastAsia"/>
          <w:b/>
          <w:sz w:val="24"/>
          <w:highlight w:val="none"/>
          <w:lang w:eastAsia="zh-CN"/>
        </w:rPr>
      </w:pPr>
      <w:r>
        <w:rPr>
          <w:rFonts w:hint="eastAsia"/>
          <w:b/>
          <w:sz w:val="24"/>
          <w:highlight w:val="none"/>
          <w:lang w:val="en-US" w:eastAsia="zh-CN"/>
        </w:rPr>
        <w:t>Athens</w:t>
      </w:r>
      <w:r>
        <w:rPr>
          <w:b/>
          <w:sz w:val="24"/>
          <w:highlight w:val="none"/>
          <w:lang w:val="it-IT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Greece</w:t>
      </w:r>
      <w:r>
        <w:rPr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February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17th</w:t>
      </w:r>
      <w:r>
        <w:rPr>
          <w:b/>
          <w:sz w:val="24"/>
          <w:highlight w:val="none"/>
        </w:rPr>
        <w:t xml:space="preserve"> – </w:t>
      </w:r>
      <w:r>
        <w:rPr>
          <w:rFonts w:hint="eastAsia"/>
          <w:b/>
          <w:sz w:val="24"/>
          <w:highlight w:val="none"/>
          <w:lang w:val="en-US" w:eastAsia="zh-CN"/>
        </w:rPr>
        <w:t>February 21st</w:t>
      </w:r>
      <w:r>
        <w:rPr>
          <w:b/>
          <w:sz w:val="24"/>
          <w:highlight w:val="none"/>
        </w:rPr>
        <w:t xml:space="preserve"> , 202</w:t>
      </w:r>
      <w:r>
        <w:rPr>
          <w:rFonts w:hint="eastAsia"/>
          <w:b/>
          <w:sz w:val="24"/>
          <w:highlight w:val="none"/>
          <w:lang w:val="en-US" w:eastAsia="zh-CN"/>
        </w:rPr>
        <w:t>5</w:t>
      </w:r>
    </w:p>
    <w:p w14:paraId="280934E8">
      <w:pPr>
        <w:pStyle w:val="59"/>
        <w:tabs>
          <w:tab w:val="right" w:pos="9639"/>
        </w:tabs>
        <w:spacing w:after="0"/>
        <w:rPr>
          <w:b/>
          <w:sz w:val="24"/>
          <w:highlight w:val="none"/>
        </w:rPr>
      </w:pPr>
    </w:p>
    <w:p w14:paraId="34086561">
      <w:pPr>
        <w:pStyle w:val="59"/>
        <w:tabs>
          <w:tab w:val="right" w:pos="9639"/>
        </w:tabs>
        <w:spacing w:after="0"/>
        <w:rPr>
          <w:b/>
          <w:color w:val="A5A5A5" w:themeColor="background1" w:themeShade="A6"/>
          <w:sz w:val="24"/>
          <w:highlight w:val="none"/>
        </w:rPr>
      </w:pPr>
      <w:r>
        <w:rPr>
          <w:b/>
          <w:color w:val="A5A5A5" w:themeColor="background1" w:themeShade="A6"/>
          <w:sz w:val="24"/>
          <w:highlight w:val="none"/>
        </w:rPr>
        <w:t>3GPP TSG RAN Meeting #10</w:t>
      </w:r>
      <w:r>
        <w:rPr>
          <w:rFonts w:hint="eastAsia"/>
          <w:b/>
          <w:color w:val="A5A5A5" w:themeColor="background1" w:themeShade="A6"/>
          <w:sz w:val="24"/>
          <w:highlight w:val="none"/>
          <w:lang w:val="en-US" w:eastAsia="zh-CN"/>
        </w:rPr>
        <w:t>7</w:t>
      </w:r>
      <w:r>
        <w:rPr>
          <w:b/>
          <w:color w:val="A5A5A5" w:themeColor="background1" w:themeShade="A6"/>
          <w:sz w:val="24"/>
          <w:highlight w:val="none"/>
        </w:rPr>
        <w:tab/>
      </w:r>
      <w:r>
        <w:rPr>
          <w:b/>
          <w:color w:val="A5A5A5" w:themeColor="background1" w:themeShade="A6"/>
          <w:sz w:val="24"/>
          <w:highlight w:val="none"/>
        </w:rPr>
        <w:t>RP-2</w:t>
      </w:r>
      <w:r>
        <w:rPr>
          <w:rFonts w:hint="eastAsia"/>
          <w:b/>
          <w:color w:val="A5A5A5" w:themeColor="background1" w:themeShade="A6"/>
          <w:sz w:val="24"/>
          <w:highlight w:val="none"/>
          <w:lang w:val="en-US" w:eastAsia="zh-CN"/>
        </w:rPr>
        <w:t>5</w:t>
      </w:r>
      <w:r>
        <w:rPr>
          <w:b/>
          <w:color w:val="A5A5A5" w:themeColor="background1" w:themeShade="A6"/>
          <w:sz w:val="24"/>
          <w:highlight w:val="none"/>
        </w:rPr>
        <w:t>xxxx</w:t>
      </w:r>
    </w:p>
    <w:p w14:paraId="1B3FF5F4">
      <w:pPr>
        <w:pStyle w:val="59"/>
        <w:tabs>
          <w:tab w:val="right" w:pos="9639"/>
        </w:tabs>
        <w:spacing w:after="0"/>
        <w:rPr>
          <w:rFonts w:hint="eastAsia"/>
          <w:b/>
          <w:color w:val="A5A5A5" w:themeColor="background1" w:themeShade="A6"/>
          <w:sz w:val="24"/>
          <w:highlight w:val="none"/>
        </w:rPr>
      </w:pPr>
      <w:r>
        <w:rPr>
          <w:rFonts w:hint="eastAsia"/>
          <w:b/>
          <w:color w:val="A5A5A5" w:themeColor="background1" w:themeShade="A6"/>
          <w:sz w:val="24"/>
          <w:highlight w:val="none"/>
          <w:lang w:val="en-US" w:eastAsia="zh-CN"/>
        </w:rPr>
        <w:t>Incheon</w:t>
      </w:r>
      <w:r>
        <w:rPr>
          <w:rFonts w:hint="eastAsia"/>
          <w:b/>
          <w:color w:val="A5A5A5" w:themeColor="background1" w:themeShade="A6"/>
          <w:sz w:val="24"/>
          <w:highlight w:val="none"/>
        </w:rPr>
        <w:t xml:space="preserve">, </w:t>
      </w:r>
      <w:r>
        <w:rPr>
          <w:rFonts w:hint="eastAsia"/>
          <w:b/>
          <w:color w:val="A5A5A5" w:themeColor="background1" w:themeShade="A6"/>
          <w:sz w:val="24"/>
          <w:highlight w:val="none"/>
          <w:lang w:val="en-US" w:eastAsia="zh-CN"/>
        </w:rPr>
        <w:t>Korea</w:t>
      </w:r>
      <w:r>
        <w:rPr>
          <w:rFonts w:hint="eastAsia"/>
          <w:b/>
          <w:color w:val="A5A5A5" w:themeColor="background1" w:themeShade="A6"/>
          <w:sz w:val="24"/>
          <w:highlight w:val="none"/>
        </w:rPr>
        <w:t xml:space="preserve">, </w:t>
      </w:r>
      <w:r>
        <w:rPr>
          <w:rFonts w:hint="eastAsia"/>
          <w:b/>
          <w:color w:val="A5A5A5" w:themeColor="background1" w:themeShade="A6"/>
          <w:sz w:val="24"/>
          <w:highlight w:val="none"/>
          <w:lang w:val="en-US" w:eastAsia="zh-CN"/>
        </w:rPr>
        <w:t>March</w:t>
      </w:r>
      <w:r>
        <w:rPr>
          <w:rFonts w:hint="eastAsia"/>
          <w:b/>
          <w:color w:val="A5A5A5" w:themeColor="background1" w:themeShade="A6"/>
          <w:sz w:val="24"/>
          <w:highlight w:val="none"/>
        </w:rPr>
        <w:t xml:space="preserve"> 1</w:t>
      </w:r>
      <w:r>
        <w:rPr>
          <w:rFonts w:hint="eastAsia"/>
          <w:b/>
          <w:color w:val="A5A5A5" w:themeColor="background1" w:themeShade="A6"/>
          <w:sz w:val="24"/>
          <w:highlight w:val="none"/>
          <w:lang w:val="en-US" w:eastAsia="zh-CN"/>
        </w:rPr>
        <w:t>2</w:t>
      </w:r>
      <w:r>
        <w:rPr>
          <w:rFonts w:hint="eastAsia"/>
          <w:b/>
          <w:color w:val="A5A5A5" w:themeColor="background1" w:themeShade="A6"/>
          <w:sz w:val="24"/>
          <w:highlight w:val="none"/>
        </w:rPr>
        <w:t>-</w:t>
      </w:r>
      <w:r>
        <w:rPr>
          <w:rFonts w:hint="eastAsia"/>
          <w:b/>
          <w:color w:val="A5A5A5" w:themeColor="background1" w:themeShade="A6"/>
          <w:sz w:val="24"/>
          <w:highlight w:val="none"/>
          <w:lang w:val="en-US" w:eastAsia="zh-CN"/>
        </w:rPr>
        <w:t>14</w:t>
      </w:r>
      <w:r>
        <w:rPr>
          <w:rFonts w:hint="eastAsia"/>
          <w:b/>
          <w:color w:val="A5A5A5" w:themeColor="background1" w:themeShade="A6"/>
          <w:sz w:val="24"/>
          <w:highlight w:val="none"/>
        </w:rPr>
        <w:t>, 202</w:t>
      </w:r>
      <w:r>
        <w:rPr>
          <w:rFonts w:hint="eastAsia"/>
          <w:b/>
          <w:color w:val="A5A5A5" w:themeColor="background1" w:themeShade="A6"/>
          <w:sz w:val="24"/>
          <w:highlight w:val="none"/>
          <w:lang w:val="en-US" w:eastAsia="zh-CN"/>
        </w:rPr>
        <w:t>5</w:t>
      </w:r>
      <w:r>
        <w:rPr>
          <w:rFonts w:hint="eastAsia"/>
          <w:b/>
          <w:color w:val="A5A5A5" w:themeColor="background1" w:themeShade="A6"/>
          <w:sz w:val="24"/>
          <w:highlight w:val="none"/>
        </w:rPr>
        <w:tab/>
      </w:r>
    </w:p>
    <w:p w14:paraId="3FDC8D5F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 w:ascii="Arial" w:hAnsi="Arial" w:eastAsia="Batang" w:cs="Arial"/>
          <w:b/>
          <w:sz w:val="24"/>
          <w:highlight w:val="none"/>
        </w:rPr>
      </w:pPr>
    </w:p>
    <w:p w14:paraId="247AD21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Source:</w:t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ab/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CMCC</w:t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, CBN</w:t>
      </w:r>
    </w:p>
    <w:p w14:paraId="3F640A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highlight w:val="none"/>
        </w:rPr>
      </w:pPr>
      <w:r>
        <w:rPr>
          <w:rFonts w:ascii="Arial" w:hAnsi="Arial" w:eastAsia="Batang" w:cs="Arial"/>
          <w:b/>
          <w:sz w:val="24"/>
          <w:szCs w:val="24"/>
          <w:highlight w:val="none"/>
        </w:rPr>
        <w:t>Title:</w:t>
      </w:r>
      <w:r>
        <w:rPr>
          <w:rFonts w:ascii="Arial" w:hAnsi="Arial" w:eastAsia="Batang" w:cs="Arial"/>
          <w:b/>
          <w:sz w:val="24"/>
          <w:szCs w:val="24"/>
          <w:highlight w:val="none"/>
        </w:rPr>
        <w:tab/>
      </w:r>
      <w:r>
        <w:rPr>
          <w:rFonts w:ascii="Arial" w:hAnsi="Arial" w:eastAsia="Batang" w:cs="Arial"/>
          <w:b/>
          <w:sz w:val="24"/>
          <w:szCs w:val="24"/>
          <w:highlight w:val="none"/>
        </w:rPr>
        <w:t xml:space="preserve">New WID on UE Conformance - </w:t>
      </w:r>
      <w:bookmarkStart w:id="0" w:name="_Hlk168425397"/>
      <w:r>
        <w:rPr>
          <w:rFonts w:ascii="Arial" w:hAnsi="Arial" w:cs="Arial"/>
          <w:b/>
          <w:sz w:val="24"/>
          <w:szCs w:val="24"/>
          <w:lang w:eastAsia="zh-CN"/>
        </w:rPr>
        <w:t>Power Class 2</w:t>
      </w:r>
      <w:bookmarkEnd w:id="0"/>
      <w:r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eastAsia="zh-CN"/>
        </w:rPr>
        <w:t xml:space="preserve">and </w:t>
      </w:r>
      <w:r>
        <w:rPr>
          <w:rFonts w:ascii="Arial" w:hAnsi="Arial" w:cs="Arial"/>
          <w:b/>
          <w:sz w:val="24"/>
          <w:szCs w:val="24"/>
          <w:lang w:eastAsia="zh-CN"/>
        </w:rPr>
        <w:t>UE 40MHz Channel Bandwidth</w:t>
      </w:r>
      <w:r>
        <w:rPr>
          <w:rFonts w:hint="eastAsia" w:ascii="Arial" w:hAnsi="Arial" w:cs="Arial"/>
          <w:b/>
          <w:sz w:val="24"/>
          <w:szCs w:val="24"/>
          <w:lang w:eastAsia="zh-CN"/>
        </w:rPr>
        <w:t xml:space="preserve"> in NR band n28</w:t>
      </w:r>
    </w:p>
    <w:p w14:paraId="29C44B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highlight w:val="none"/>
          <w:lang w:val="en-US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Document for: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>Endorsement</w:t>
      </w:r>
    </w:p>
    <w:p w14:paraId="3D6038B4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eastAsia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4</w:t>
      </w:r>
      <w:r>
        <w:rPr>
          <w:rFonts w:ascii="Arial" w:hAnsi="Arial" w:eastAsia="Batang"/>
          <w:b/>
          <w:sz w:val="24"/>
          <w:szCs w:val="24"/>
          <w:highlight w:val="none"/>
        </w:rPr>
        <w:t>.</w:t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1</w:t>
      </w:r>
    </w:p>
    <w:p w14:paraId="5884722F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highlight w:val="none"/>
        </w:rPr>
      </w:pPr>
    </w:p>
    <w:p w14:paraId="42701AB6"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 w14:paraId="18935B52"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rFonts w:cs="Arial"/>
          <w:highlight w:val="none"/>
        </w:rPr>
        <w:fldChar w:fldCharType="begin"/>
      </w:r>
      <w:r>
        <w:rPr>
          <w:rFonts w:cs="Arial"/>
          <w:highlight w:val="none"/>
        </w:rPr>
        <w:instrText xml:space="preserve"> HYPERLINK "http://www.3gpp.org/Work-Items" </w:instrText>
      </w:r>
      <w:r>
        <w:rPr>
          <w:rFonts w:cs="Arial"/>
          <w:highlight w:val="none"/>
        </w:rPr>
        <w:fldChar w:fldCharType="separate"/>
      </w:r>
      <w:r>
        <w:rPr>
          <w:rStyle w:val="49"/>
          <w:rFonts w:cs="Arial"/>
          <w:highlight w:val="none"/>
        </w:rPr>
        <w:t>http://www.3gpp.org/Work-Items</w:t>
      </w:r>
      <w:r>
        <w:rPr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HYPERLINK "http://www.3gpp.org/specifications-groups/working-procedures"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>3GPP Working Procedures</w:t>
      </w:r>
      <w:r>
        <w:rPr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 xml:space="preserve">3GPP </w:t>
      </w:r>
      <w:bookmarkStart w:id="1" w:name="_Hlt515348424"/>
      <w:bookmarkStart w:id="2" w:name="_Hlt515348423"/>
      <w:r>
        <w:rPr>
          <w:rStyle w:val="49"/>
          <w:highlight w:val="none"/>
        </w:rPr>
        <w:t>T</w:t>
      </w:r>
      <w:bookmarkEnd w:id="1"/>
      <w:bookmarkEnd w:id="2"/>
      <w:r>
        <w:rPr>
          <w:rStyle w:val="49"/>
          <w:highlight w:val="none"/>
        </w:rPr>
        <w:t>R 21.900</w:t>
      </w:r>
      <w:r>
        <w:rPr>
          <w:highlight w:val="none"/>
        </w:rPr>
        <w:fldChar w:fldCharType="end"/>
      </w:r>
    </w:p>
    <w:p w14:paraId="6E955E7B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Title:  UE Conformance - </w:t>
      </w:r>
      <w:r>
        <w:rPr>
          <w:sz w:val="32"/>
          <w:szCs w:val="32"/>
          <w:highlight w:val="none"/>
          <w:lang w:eastAsia="zh-CN"/>
        </w:rPr>
        <w:t xml:space="preserve">Power Class 2 </w:t>
      </w:r>
      <w:r>
        <w:rPr>
          <w:rFonts w:hint="eastAsia"/>
          <w:sz w:val="32"/>
          <w:szCs w:val="32"/>
          <w:highlight w:val="none"/>
          <w:lang w:eastAsia="zh-CN"/>
        </w:rPr>
        <w:t xml:space="preserve">and </w:t>
      </w:r>
      <w:r>
        <w:rPr>
          <w:sz w:val="32"/>
          <w:szCs w:val="32"/>
          <w:highlight w:val="none"/>
          <w:lang w:eastAsia="zh-CN"/>
        </w:rPr>
        <w:t>UE 40MHz Channel Bandwidth</w:t>
      </w:r>
      <w:r>
        <w:rPr>
          <w:rFonts w:hint="eastAsia"/>
          <w:sz w:val="32"/>
          <w:szCs w:val="32"/>
          <w:highlight w:val="none"/>
          <w:lang w:eastAsia="zh-CN"/>
        </w:rPr>
        <w:t xml:space="preserve"> in NR band n28</w:t>
      </w:r>
    </w:p>
    <w:p w14:paraId="6752038A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Acronym: </w:t>
      </w:r>
      <w:r>
        <w:rPr>
          <w:sz w:val="32"/>
          <w:szCs w:val="32"/>
        </w:rPr>
        <w:t>NR_n28_PC2_40MHz_CBW</w:t>
      </w:r>
      <w:r>
        <w:rPr>
          <w:sz w:val="32"/>
          <w:szCs w:val="32"/>
          <w:highlight w:val="none"/>
        </w:rPr>
        <w:t>-UEConTest</w:t>
      </w:r>
    </w:p>
    <w:p w14:paraId="5A3E8093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Unique identifier:</w:t>
      </w:r>
      <w:r>
        <w:rPr>
          <w:sz w:val="32"/>
          <w:szCs w:val="32"/>
          <w:highlight w:val="none"/>
        </w:rPr>
        <w:tab/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04A36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4365AFDB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450BCAD8"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15DB0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3C57440A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42D6B67C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5D29966C"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6972F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385EEB9E"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24C231E8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50C7A5F4"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44D0A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097347E7"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2EB67432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0BA087C4">
            <w:pPr>
              <w:pStyle w:val="53"/>
              <w:jc w:val="center"/>
              <w:rPr>
                <w:b/>
                <w:bCs/>
                <w:highlight w:val="none"/>
              </w:rPr>
            </w:pPr>
          </w:p>
        </w:tc>
      </w:tr>
    </w:tbl>
    <w:p w14:paraId="5B95ED93">
      <w:pPr>
        <w:rPr>
          <w:highlight w:val="none"/>
        </w:rPr>
      </w:pPr>
    </w:p>
    <w:p w14:paraId="7738B0EC">
      <w:pPr>
        <w:pStyle w:val="10"/>
        <w:rPr>
          <w:rFonts w:hint="eastAsia" w:eastAsia="宋体"/>
          <w:sz w:val="32"/>
          <w:szCs w:val="32"/>
          <w:highlight w:val="none"/>
          <w:lang w:eastAsia="zh-CN"/>
        </w:rPr>
      </w:pPr>
      <w:r>
        <w:rPr>
          <w:sz w:val="32"/>
          <w:szCs w:val="32"/>
          <w:highlight w:val="none"/>
        </w:rPr>
        <w:t>Potential target Release:</w:t>
      </w:r>
      <w:r>
        <w:rPr>
          <w:sz w:val="32"/>
          <w:szCs w:val="32"/>
          <w:highlight w:val="none"/>
        </w:rPr>
        <w:tab/>
      </w:r>
      <w:r>
        <w:rPr>
          <w:iCs/>
          <w:sz w:val="32"/>
          <w:szCs w:val="32"/>
          <w:highlight w:val="none"/>
        </w:rPr>
        <w:t>Rel-1</w:t>
      </w:r>
      <w:r>
        <w:rPr>
          <w:rFonts w:hint="eastAsia"/>
          <w:iCs/>
          <w:sz w:val="32"/>
          <w:szCs w:val="32"/>
          <w:highlight w:val="none"/>
          <w:lang w:val="en-US" w:eastAsia="zh-CN"/>
        </w:rPr>
        <w:t>9</w:t>
      </w:r>
    </w:p>
    <w:p w14:paraId="0882B786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1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Impacts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79813A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 w14:paraId="761B427C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95D1E9F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81C0304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0C8170E4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3F92B432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98861A5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 w14:paraId="10F17B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  <w:noWrap w:val="0"/>
            <w:vAlign w:val="top"/>
          </w:tcPr>
          <w:p w14:paraId="66F22F0C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noWrap w:val="0"/>
            <w:vAlign w:val="top"/>
          </w:tcPr>
          <w:p w14:paraId="4F3CFA9D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1B7B0669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64D49727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751988EE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4A6FCDE6">
            <w:pPr>
              <w:pStyle w:val="57"/>
              <w:rPr>
                <w:highlight w:val="none"/>
              </w:rPr>
            </w:pPr>
          </w:p>
        </w:tc>
      </w:tr>
      <w:tr w14:paraId="4C969E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77A02690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06DEC09E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76637507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5294F630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4A867041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45BF88FC">
            <w:pPr>
              <w:pStyle w:val="57"/>
              <w:rPr>
                <w:highlight w:val="none"/>
              </w:rPr>
            </w:pPr>
          </w:p>
        </w:tc>
      </w:tr>
      <w:tr w14:paraId="3EA503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47A4684B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7FA3B53F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6A29D76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D2AFFA3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9CB22F5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D5F27D0">
            <w:pPr>
              <w:pStyle w:val="57"/>
              <w:rPr>
                <w:highlight w:val="none"/>
              </w:rPr>
            </w:pPr>
          </w:p>
        </w:tc>
      </w:tr>
    </w:tbl>
    <w:p w14:paraId="3B6ECFE3">
      <w:pPr>
        <w:ind w:right="-99"/>
        <w:rPr>
          <w:b/>
          <w:highlight w:val="none"/>
        </w:rPr>
      </w:pPr>
    </w:p>
    <w:p w14:paraId="4DD3E606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2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Classification of the Work Item and linked work items</w:t>
      </w:r>
    </w:p>
    <w:p w14:paraId="217C23E3"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 w14:paraId="1314B90D">
      <w:pPr>
        <w:pStyle w:val="90"/>
        <w:spacing w:before="0" w:beforeAutospacing="0" w:after="0" w:afterAutospacing="0"/>
        <w:rPr>
          <w:highlight w:val="none"/>
        </w:rPr>
      </w:pPr>
      <w:r>
        <w:rPr>
          <w:highlight w:val="none"/>
        </w:rPr>
        <w:t xml:space="preserve">This description is a </w:t>
      </w:r>
    </w:p>
    <w:p w14:paraId="231A9F21">
      <w:pPr>
        <w:pStyle w:val="90"/>
        <w:spacing w:before="0" w:beforeAutospacing="0" w:after="0" w:afterAutospacing="0"/>
        <w:rPr>
          <w:highlight w:val="none"/>
        </w:rPr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41F982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  <w:noWrap w:val="0"/>
            <w:vAlign w:val="top"/>
          </w:tcPr>
          <w:p w14:paraId="03BD45A0">
            <w:pPr>
              <w:pStyle w:val="56"/>
              <w:ind w:right="-99"/>
              <w:jc w:val="left"/>
              <w:rPr>
                <w:sz w:val="20"/>
                <w:highlight w:val="none"/>
              </w:rPr>
            </w:pPr>
            <w:r>
              <w:rPr>
                <w:sz w:val="20"/>
                <w:highlight w:val="none"/>
              </w:rPr>
              <w:t>Normative Work Item:</w:t>
            </w:r>
          </w:p>
          <w:p w14:paraId="0C60246C">
            <w:pPr>
              <w:pStyle w:val="56"/>
              <w:ind w:right="-99"/>
              <w:jc w:val="left"/>
              <w:rPr>
                <w:b w:val="0"/>
                <w:bCs/>
                <w:i/>
                <w:iCs/>
                <w:sz w:val="20"/>
                <w:highlight w:val="none"/>
              </w:rPr>
            </w:pPr>
            <w:r>
              <w:rPr>
                <w:b w:val="0"/>
                <w:bCs/>
                <w:i/>
                <w:iCs/>
                <w:sz w:val="20"/>
                <w:highlight w:val="none"/>
              </w:rPr>
              <w:t>tick applicable boxes below</w:t>
            </w:r>
          </w:p>
        </w:tc>
      </w:tr>
      <w:tr w14:paraId="583C6A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4E3F93F5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340FD5F9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1</w:t>
            </w:r>
          </w:p>
        </w:tc>
      </w:tr>
      <w:tr w14:paraId="00E329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70419B73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10C0D231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2</w:t>
            </w:r>
          </w:p>
        </w:tc>
      </w:tr>
      <w:tr w14:paraId="25518F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32CF4386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2D9ECABC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3</w:t>
            </w:r>
          </w:p>
        </w:tc>
      </w:tr>
      <w:tr w14:paraId="25F482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24E0A836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2DBB7092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Other (e.g. testing)</w:t>
            </w:r>
          </w:p>
        </w:tc>
      </w:tr>
    </w:tbl>
    <w:p w14:paraId="06D70681">
      <w:pPr>
        <w:ind w:right="-99"/>
        <w:rPr>
          <w:b/>
          <w:highlight w:val="none"/>
        </w:rPr>
      </w:pPr>
    </w:p>
    <w:p w14:paraId="55D808BE"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>Parent Work Item</w:t>
      </w:r>
    </w:p>
    <w:p w14:paraId="66A0934B">
      <w:pPr>
        <w:rPr>
          <w:highlight w:val="none"/>
        </w:rPr>
      </w:pPr>
      <w:r>
        <w:rPr>
          <w:highlight w:val="none"/>
        </w:rPr>
        <w:t>The following lists of RAN4 work items that will be tested in this RAN5 work item will be maintained in future revisions of this WI description: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92"/>
        <w:gridCol w:w="1276"/>
        <w:gridCol w:w="6378"/>
      </w:tblGrid>
      <w:tr w14:paraId="2A20CE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63F25120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 w14:paraId="556E4D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  <w:noWrap w:val="0"/>
            <w:vAlign w:val="top"/>
          </w:tcPr>
          <w:p w14:paraId="29296A2E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992" w:type="dxa"/>
            <w:shd w:val="clear" w:color="auto" w:fill="E0E0E0"/>
            <w:noWrap w:val="0"/>
            <w:vAlign w:val="top"/>
          </w:tcPr>
          <w:p w14:paraId="24A104BD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276" w:type="dxa"/>
            <w:shd w:val="clear" w:color="auto" w:fill="E0E0E0"/>
            <w:noWrap w:val="0"/>
            <w:vAlign w:val="top"/>
          </w:tcPr>
          <w:p w14:paraId="6BCC1ED8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378" w:type="dxa"/>
            <w:shd w:val="clear" w:color="auto" w:fill="E0E0E0"/>
            <w:noWrap w:val="0"/>
            <w:vAlign w:val="top"/>
          </w:tcPr>
          <w:p w14:paraId="365FE29F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 w14:paraId="080AEF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4AC72491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</w:rPr>
              <w:t>NR_n28_PC2_40MHz_CBW</w:t>
            </w:r>
          </w:p>
        </w:tc>
        <w:tc>
          <w:tcPr>
            <w:tcW w:w="992" w:type="dxa"/>
            <w:noWrap w:val="0"/>
            <w:vAlign w:val="top"/>
          </w:tcPr>
          <w:p w14:paraId="18AFA7BD">
            <w:pPr>
              <w:pStyle w:val="53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 w14:paraId="27CBB111">
            <w:pPr>
              <w:pStyle w:val="53"/>
              <w:rPr>
                <w:highlight w:val="none"/>
                <w:lang w:val="en-US"/>
              </w:rPr>
            </w:pPr>
            <w:bookmarkStart w:id="3" w:name="OLE_LINK2"/>
            <w:r>
              <w:rPr>
                <w:highlight w:val="none"/>
                <w:lang w:eastAsia="zh-CN"/>
              </w:rPr>
              <w:t>1040128</w:t>
            </w:r>
            <w:bookmarkEnd w:id="3"/>
          </w:p>
        </w:tc>
        <w:tc>
          <w:tcPr>
            <w:tcW w:w="6378" w:type="dxa"/>
            <w:noWrap w:val="0"/>
            <w:vAlign w:val="top"/>
          </w:tcPr>
          <w:p w14:paraId="13371048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</w:rPr>
              <w:t xml:space="preserve">Introduction of Power Class 2 and UE 40MHz Channel Bandwidth in NR band n28 </w:t>
            </w:r>
          </w:p>
        </w:tc>
      </w:tr>
      <w:tr w14:paraId="70A4AC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7EABEA5B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</w:rPr>
              <w:t>NR_n28_PC2_40MHz_CBW-Core</w:t>
            </w:r>
          </w:p>
        </w:tc>
        <w:tc>
          <w:tcPr>
            <w:tcW w:w="992" w:type="dxa"/>
            <w:noWrap w:val="0"/>
            <w:vAlign w:val="top"/>
          </w:tcPr>
          <w:p w14:paraId="23F09453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highlight w:val="none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 w14:paraId="38FB2289"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</w:rPr>
              <w:t>1041128</w:t>
            </w:r>
          </w:p>
        </w:tc>
        <w:tc>
          <w:tcPr>
            <w:tcW w:w="6378" w:type="dxa"/>
            <w:noWrap w:val="0"/>
            <w:vAlign w:val="top"/>
          </w:tcPr>
          <w:p w14:paraId="5B688292">
            <w:pPr>
              <w:pStyle w:val="53"/>
              <w:rPr>
                <w:rFonts w:hint="eastAsia"/>
              </w:rPr>
            </w:pPr>
            <w:r>
              <w:rPr>
                <w:rFonts w:hint="eastAsia"/>
              </w:rPr>
              <w:t xml:space="preserve">Core part: Introduction of Power Class 2 and UE 40MHz Channel Bandwidth in NR band n28 </w:t>
            </w:r>
          </w:p>
        </w:tc>
      </w:tr>
    </w:tbl>
    <w:p w14:paraId="5F7C727D">
      <w:pPr>
        <w:ind w:right="-99"/>
        <w:rPr>
          <w:b/>
          <w:highlight w:val="none"/>
        </w:rPr>
      </w:pPr>
    </w:p>
    <w:p w14:paraId="65E1A162">
      <w:pPr>
        <w:pStyle w:val="4"/>
        <w:rPr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773B8B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2020C7B7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Work/Study Items (if any)</w:t>
            </w:r>
          </w:p>
        </w:tc>
      </w:tr>
      <w:tr w14:paraId="71FE04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  <w:noWrap w:val="0"/>
            <w:vAlign w:val="top"/>
          </w:tcPr>
          <w:p w14:paraId="7069A941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highlight w:val="none"/>
              </w:rPr>
              <w:t>Acronym</w:t>
            </w:r>
          </w:p>
        </w:tc>
        <w:tc>
          <w:tcPr>
            <w:tcW w:w="1134" w:type="dxa"/>
            <w:shd w:val="clear" w:color="auto" w:fill="E0E0E0"/>
            <w:noWrap w:val="0"/>
            <w:vAlign w:val="top"/>
          </w:tcPr>
          <w:p w14:paraId="79A68404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402" w:type="dxa"/>
            <w:shd w:val="clear" w:color="auto" w:fill="E0E0E0"/>
            <w:noWrap w:val="0"/>
            <w:vAlign w:val="top"/>
          </w:tcPr>
          <w:p w14:paraId="12A55874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4536" w:type="dxa"/>
            <w:shd w:val="clear" w:color="auto" w:fill="E0E0E0"/>
            <w:noWrap w:val="0"/>
            <w:vAlign w:val="top"/>
          </w:tcPr>
          <w:p w14:paraId="5E4CB2B8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 w14:paraId="7448A8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noWrap w:val="0"/>
            <w:vAlign w:val="top"/>
          </w:tcPr>
          <w:p w14:paraId="289A1F4A"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53BD335F">
            <w:pPr>
              <w:pStyle w:val="53"/>
              <w:rPr>
                <w:highlight w:val="none"/>
              </w:rPr>
            </w:pPr>
          </w:p>
        </w:tc>
        <w:tc>
          <w:tcPr>
            <w:tcW w:w="3402" w:type="dxa"/>
            <w:noWrap w:val="0"/>
            <w:vAlign w:val="top"/>
          </w:tcPr>
          <w:p w14:paraId="6F3A2363">
            <w:pPr>
              <w:pStyle w:val="53"/>
              <w:rPr>
                <w:highlight w:val="none"/>
              </w:rPr>
            </w:pPr>
          </w:p>
        </w:tc>
        <w:tc>
          <w:tcPr>
            <w:tcW w:w="4536" w:type="dxa"/>
            <w:noWrap w:val="0"/>
            <w:vAlign w:val="top"/>
          </w:tcPr>
          <w:p w14:paraId="2E48F011">
            <w:pPr>
              <w:pStyle w:val="90"/>
              <w:rPr>
                <w:highlight w:val="none"/>
              </w:rPr>
            </w:pPr>
            <w:r>
              <w:rPr>
                <w:i/>
                <w:sz w:val="20"/>
                <w:highlight w:val="none"/>
              </w:rPr>
              <w:t xml:space="preserve">{optional free text} </w:t>
            </w:r>
          </w:p>
        </w:tc>
      </w:tr>
    </w:tbl>
    <w:p w14:paraId="072FCAF2">
      <w:pPr>
        <w:rPr>
          <w:i/>
          <w:highlight w:val="none"/>
        </w:rPr>
      </w:pPr>
    </w:p>
    <w:p w14:paraId="348FC325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3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Justification</w:t>
      </w:r>
    </w:p>
    <w:p w14:paraId="08853BD9">
      <w:pPr>
        <w:rPr>
          <w:rFonts w:hint="eastAsia"/>
          <w:kern w:val="2"/>
          <w:highlight w:val="none"/>
          <w:lang w:val="en-US" w:eastAsia="zh-CN"/>
        </w:rPr>
      </w:pPr>
      <w:r>
        <w:rPr>
          <w:rFonts w:hint="eastAsia"/>
          <w:lang w:eastAsia="zh-CN"/>
        </w:rPr>
        <w:t xml:space="preserve">For NR band n28, existing specs assume dual </w:t>
      </w:r>
      <w:r>
        <w:rPr>
          <w:lang w:eastAsia="zh-CN"/>
        </w:rPr>
        <w:t>duplexer</w:t>
      </w:r>
      <w:r>
        <w:rPr>
          <w:rFonts w:hint="eastAsia"/>
          <w:lang w:eastAsia="zh-CN"/>
        </w:rPr>
        <w:t xml:space="preserve"> architecture for UE. This assumption has limitations on the location of NR UL carriers, supported UE channel bandwidth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and so on. During the Rel-18 discussion of how to specify PC2 requirements in band n28, it is a desire from industry to </w:t>
      </w:r>
      <w:r>
        <w:rPr>
          <w:lang w:eastAsia="zh-CN"/>
        </w:rPr>
        <w:t>evolve</w:t>
      </w:r>
      <w:r>
        <w:rPr>
          <w:rFonts w:hint="eastAsia"/>
          <w:lang w:eastAsia="zh-CN"/>
        </w:rPr>
        <w:t xml:space="preserve"> duplexer</w:t>
      </w:r>
      <w:r>
        <w:rPr>
          <w:lang w:eastAsia="zh-CN"/>
        </w:rPr>
        <w:t xml:space="preserve"> implementation and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RF </w:t>
      </w:r>
      <w:r>
        <w:rPr>
          <w:rFonts w:hint="eastAsia"/>
          <w:lang w:eastAsia="zh-CN"/>
        </w:rPr>
        <w:t>architecture</w:t>
      </w:r>
      <w:r>
        <w:rPr>
          <w:lang w:eastAsia="zh-CN"/>
        </w:rPr>
        <w:t xml:space="preserve"> for band n28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 xml:space="preserve">Hence, a RAN4 Rel-19 </w:t>
      </w:r>
      <w:r>
        <w:rPr>
          <w:rFonts w:hint="eastAsia"/>
          <w:lang w:eastAsia="zh-CN"/>
        </w:rPr>
        <w:t xml:space="preserve">WI </w:t>
      </w:r>
      <w:r>
        <w:rPr>
          <w:rFonts w:hint="eastAsia"/>
          <w:lang w:val="en-US" w:eastAsia="zh-CN"/>
        </w:rPr>
        <w:t>has</w:t>
      </w:r>
      <w:r>
        <w:rPr>
          <w:rFonts w:hint="eastAsia"/>
          <w:lang w:eastAsia="zh-CN"/>
        </w:rPr>
        <w:t xml:space="preserve"> specif</w:t>
      </w:r>
      <w:r>
        <w:rPr>
          <w:rFonts w:hint="eastAsia"/>
          <w:lang w:val="en-US" w:eastAsia="zh-CN"/>
        </w:rPr>
        <w:t>ied</w:t>
      </w:r>
      <w:r>
        <w:rPr>
          <w:rFonts w:hint="eastAsia"/>
          <w:lang w:eastAsia="zh-CN"/>
        </w:rPr>
        <w:t xml:space="preserve"> PC2 and 40MHz for band n28 considering the UE evolution and operators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deployment requirement.</w:t>
      </w:r>
    </w:p>
    <w:p w14:paraId="23F1C204">
      <w:pPr>
        <w:rPr>
          <w:lang w:eastAsia="zh-CN"/>
        </w:rPr>
      </w:pPr>
      <w:r>
        <w:rPr>
          <w:rFonts w:hint="eastAsia"/>
          <w:kern w:val="2"/>
          <w:highlight w:val="none"/>
          <w:lang w:val="en-US" w:eastAsia="zh-CN"/>
        </w:rPr>
        <w:t xml:space="preserve">The </w:t>
      </w:r>
      <w:r>
        <w:rPr>
          <w:rFonts w:hint="eastAsia"/>
          <w:kern w:val="2"/>
          <w:highlight w:val="none"/>
          <w:lang w:val="en-US"/>
        </w:rPr>
        <w:t>Release 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kern w:val="2"/>
          <w:highlight w:val="none"/>
          <w:lang w:val="en-US"/>
        </w:rPr>
        <w:t xml:space="preserve"> RAN4 work item NR_n28_PC2_40M</w:t>
      </w:r>
      <w:r>
        <w:rPr>
          <w:rFonts w:hint="eastAsia"/>
          <w:bCs/>
          <w:highlight w:val="none"/>
          <w:lang w:val="en-US"/>
        </w:rPr>
        <w:t>Hz_CBW</w:t>
      </w:r>
      <w:r>
        <w:rPr>
          <w:rFonts w:hint="eastAsia" w:ascii="Calibri" w:hAnsi="Calibri" w:cs="Calibri"/>
          <w:color w:val="00B050"/>
          <w:sz w:val="14"/>
          <w:szCs w:val="14"/>
          <w:highlight w:val="none"/>
          <w:shd w:val="clear" w:color="auto" w:fill="FFFFFF"/>
          <w:lang w:val="en-US"/>
        </w:rPr>
        <w:t xml:space="preserve"> </w:t>
      </w:r>
      <w:r>
        <w:rPr>
          <w:rFonts w:hint="eastAsia"/>
          <w:bCs/>
          <w:highlight w:val="none"/>
          <w:lang w:val="en-US" w:eastAsia="zh-CN"/>
        </w:rPr>
        <w:t xml:space="preserve">has </w:t>
      </w:r>
      <w:r>
        <w:rPr>
          <w:lang w:eastAsia="zh-CN"/>
        </w:rPr>
        <w:t>introduce</w:t>
      </w:r>
      <w:r>
        <w:rPr>
          <w:rFonts w:hint="eastAsia"/>
          <w:lang w:val="en-US" w:eastAsia="zh-CN"/>
        </w:rPr>
        <w:t>d</w:t>
      </w:r>
      <w:r>
        <w:rPr>
          <w:lang w:eastAsia="zh-CN"/>
        </w:rPr>
        <w:t xml:space="preserve"> requirements for UE Power Class 2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40MHz Channel Bandwidth</w:t>
      </w:r>
      <w:r>
        <w:rPr>
          <w:rFonts w:hint="eastAsia"/>
          <w:lang w:eastAsia="zh-CN"/>
        </w:rPr>
        <w:t xml:space="preserve"> for NR band n28 as optional features, including the following aspects:</w:t>
      </w:r>
    </w:p>
    <w:p w14:paraId="0CACE966">
      <w:pPr>
        <w:numPr>
          <w:ilvl w:val="0"/>
          <w:numId w:val="1"/>
        </w:numPr>
        <w:spacing w:after="120"/>
        <w:ind w:right="-96"/>
        <w:jc w:val="both"/>
        <w:rPr>
          <w:lang w:eastAsia="zh-CN"/>
        </w:rPr>
      </w:pPr>
      <w:r>
        <w:rPr>
          <w:rFonts w:hint="eastAsia"/>
          <w:lang w:eastAsia="zh-CN"/>
        </w:rPr>
        <w:t>Introduce</w:t>
      </w:r>
      <w:r>
        <w:rPr>
          <w:lang w:eastAsia="zh-CN"/>
        </w:rPr>
        <w:t xml:space="preserve"> requirements for PC2 and those associated with following bullets</w:t>
      </w:r>
    </w:p>
    <w:p w14:paraId="6082AEA4">
      <w:pPr>
        <w:numPr>
          <w:ilvl w:val="1"/>
          <w:numId w:val="1"/>
        </w:numPr>
        <w:spacing w:after="120"/>
        <w:ind w:right="-96"/>
        <w:jc w:val="both"/>
        <w:rPr>
          <w:lang w:val="en-US" w:eastAsia="zh-CN"/>
        </w:rPr>
      </w:pPr>
      <w:r>
        <w:rPr>
          <w:lang w:val="en-US" w:eastAsia="zh-CN"/>
        </w:rPr>
        <w:t>Both 1Tx and 2Tx PC2 are supported</w:t>
      </w:r>
    </w:p>
    <w:p w14:paraId="1072B973">
      <w:pPr>
        <w:numPr>
          <w:ilvl w:val="1"/>
          <w:numId w:val="1"/>
        </w:numPr>
        <w:spacing w:after="120"/>
        <w:ind w:right="-96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UL-MIMO is supported.</w:t>
      </w:r>
    </w:p>
    <w:p w14:paraId="3541E86C">
      <w:pPr>
        <w:numPr>
          <w:ilvl w:val="1"/>
          <w:numId w:val="1"/>
        </w:numPr>
        <w:spacing w:after="120"/>
        <w:ind w:right="-96"/>
        <w:jc w:val="both"/>
        <w:rPr>
          <w:lang w:val="en-US" w:eastAsia="zh-CN"/>
        </w:rPr>
      </w:pPr>
      <w:r>
        <w:rPr>
          <w:rFonts w:eastAsia="Yu Mincho"/>
          <w:lang w:val="en-US" w:eastAsia="ja-JP"/>
        </w:rPr>
        <w:t xml:space="preserve">Specify </w:t>
      </w:r>
      <w:r>
        <w:rPr>
          <w:rFonts w:hint="eastAsia" w:eastAsia="Yu Mincho"/>
          <w:lang w:val="en-US" w:eastAsia="ja-JP"/>
        </w:rPr>
        <w:t>A</w:t>
      </w:r>
      <w:r>
        <w:rPr>
          <w:rFonts w:eastAsia="Yu Mincho"/>
          <w:lang w:val="en-US" w:eastAsia="ja-JP"/>
        </w:rPr>
        <w:t>-MPR requirements for PC2</w:t>
      </w:r>
    </w:p>
    <w:p w14:paraId="75431C89">
      <w:pPr>
        <w:numPr>
          <w:ilvl w:val="0"/>
          <w:numId w:val="1"/>
        </w:numPr>
        <w:spacing w:after="120"/>
        <w:ind w:right="-96"/>
        <w:jc w:val="both"/>
        <w:rPr>
          <w:lang w:eastAsia="zh-CN"/>
        </w:rPr>
      </w:pPr>
      <w:r>
        <w:rPr>
          <w:lang w:eastAsia="zh-CN"/>
        </w:rPr>
        <w:t>Introduce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40MHz Channel bandwidth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located in </w:t>
      </w:r>
      <w:bookmarkStart w:id="4" w:name="_Hlk168426157"/>
      <w:r>
        <w:rPr>
          <w:lang w:eastAsia="zh-CN"/>
        </w:rPr>
        <w:t>UL: 703 - 743MHz and DL: 758 - 798MHz</w:t>
      </w:r>
      <w:bookmarkEnd w:id="4"/>
      <w:r>
        <w:rPr>
          <w:lang w:eastAsia="zh-CN"/>
        </w:rPr>
        <w:t xml:space="preserve"> for band n28 supporting PC3 and PC2</w:t>
      </w:r>
      <w:r>
        <w:rPr>
          <w:rFonts w:hint="eastAsia"/>
          <w:lang w:eastAsia="zh-CN"/>
        </w:rPr>
        <w:t>.</w:t>
      </w:r>
    </w:p>
    <w:p w14:paraId="2A076E91">
      <w:pPr>
        <w:numPr>
          <w:ilvl w:val="1"/>
          <w:numId w:val="1"/>
        </w:numPr>
        <w:spacing w:after="120"/>
        <w:ind w:right="-96"/>
        <w:jc w:val="both"/>
        <w:rPr>
          <w:lang w:eastAsia="zh-CN"/>
        </w:rPr>
      </w:pPr>
      <w:r>
        <w:rPr>
          <w:lang w:eastAsia="zh-CN"/>
        </w:rPr>
        <w:t>Allow flexible channel allocations within the frequency range (UL: 703 - 743MHz and DL: 758 - 798MHz) for BW&lt;40MHz.</w:t>
      </w:r>
    </w:p>
    <w:p w14:paraId="14941ED7">
      <w:pPr>
        <w:numPr>
          <w:ilvl w:val="0"/>
          <w:numId w:val="1"/>
        </w:numPr>
        <w:spacing w:after="120"/>
        <w:ind w:right="-96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Release independence of </w:t>
      </w:r>
      <w:r>
        <w:rPr>
          <w:lang w:val="en-US" w:eastAsia="zh-CN"/>
        </w:rPr>
        <w:t>UE 40MHz Channel bandwidth</w:t>
      </w:r>
      <w:r>
        <w:rPr>
          <w:rFonts w:hint="eastAsia"/>
          <w:lang w:val="en-US" w:eastAsia="zh-CN"/>
        </w:rPr>
        <w:t xml:space="preserve"> is from Rel-16.</w:t>
      </w:r>
    </w:p>
    <w:p w14:paraId="07015FA4">
      <w:pPr>
        <w:numPr>
          <w:ilvl w:val="0"/>
          <w:numId w:val="1"/>
        </w:numPr>
        <w:spacing w:after="120"/>
        <w:ind w:right="-96"/>
        <w:jc w:val="both"/>
        <w:rPr>
          <w:rFonts w:hint="eastAsia"/>
          <w:kern w:val="2"/>
          <w:highlight w:val="none"/>
          <w:lang w:val="en-US"/>
        </w:rPr>
      </w:pPr>
      <w:r>
        <w:rPr>
          <w:rFonts w:hint="eastAsia"/>
          <w:lang w:val="en-US" w:eastAsia="zh-CN"/>
        </w:rPr>
        <w:t>No changes to the existing requirements (38.101-1 v18.5.0) (including A-MPR values and RB allocation regions) for power class 3 with existing channel bandwidths up to and including 30MHz to avoid impacts on existing power class 3 networks. In the event of new regulatory requirements, this assumption can be revisited.</w:t>
      </w:r>
    </w:p>
    <w:p w14:paraId="35F94324"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</w:t>
      </w:r>
      <w:r>
        <w:rPr>
          <w:rFonts w:hint="eastAsia"/>
          <w:kern w:val="2"/>
          <w:highlight w:val="none"/>
          <w:lang w:val="en-US" w:eastAsia="zh-CN"/>
        </w:rPr>
        <w:t xml:space="preserve">the </w:t>
      </w:r>
      <w:r>
        <w:rPr>
          <w:rFonts w:hint="eastAsia"/>
          <w:kern w:val="2"/>
          <w:highlight w:val="none"/>
          <w:lang w:val="en-US"/>
        </w:rPr>
        <w:t>Rel-1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kern w:val="2"/>
          <w:highlight w:val="none"/>
          <w:lang w:val="en-US"/>
        </w:rPr>
        <w:t xml:space="preserve"> RAN4 work item </w:t>
      </w:r>
      <w:r>
        <w:rPr>
          <w:rFonts w:hint="eastAsia"/>
          <w:bCs/>
          <w:highlight w:val="none"/>
          <w:lang w:val="en-US"/>
        </w:rPr>
        <w:t>NR_n28_PC2_40MHz_CBW</w:t>
      </w:r>
      <w:r>
        <w:rPr>
          <w:rFonts w:hint="eastAsia"/>
          <w:kern w:val="2"/>
          <w:highlight w:val="none"/>
          <w:lang w:val="en-US"/>
        </w:rPr>
        <w:t>, the overall completion level for core part has reached 100% after RP#10</w:t>
      </w:r>
      <w:r>
        <w:rPr>
          <w:rFonts w:hint="eastAsia"/>
          <w:kern w:val="2"/>
          <w:highlight w:val="none"/>
          <w:lang w:val="en-US" w:eastAsia="zh-CN"/>
        </w:rPr>
        <w:t>6 (December 2024)</w:t>
      </w:r>
      <w:r>
        <w:rPr>
          <w:rFonts w:hint="eastAsia"/>
          <w:kern w:val="2"/>
          <w:highlight w:val="none"/>
          <w:lang w:val="en-US"/>
        </w:rPr>
        <w:t xml:space="preserve">.Therefore it is </w:t>
      </w:r>
      <w:r>
        <w:rPr>
          <w:kern w:val="2"/>
          <w:highlight w:val="none"/>
          <w:lang w:val="en-US"/>
        </w:rPr>
        <w:t xml:space="preserve">justified to introduce the conformance testing for </w:t>
      </w:r>
      <w:r>
        <w:rPr>
          <w:rFonts w:hint="eastAsia"/>
          <w:kern w:val="2"/>
          <w:highlight w:val="none"/>
          <w:lang w:val="en-US" w:eastAsia="zh-CN"/>
        </w:rPr>
        <w:t xml:space="preserve">PC2 and </w:t>
      </w:r>
      <w:r>
        <w:rPr>
          <w:kern w:val="2"/>
          <w:highlight w:val="none"/>
          <w:lang w:val="en-US" w:eastAsia="zh-CN"/>
        </w:rPr>
        <w:t>40MHz Channel Bandwidth</w:t>
      </w:r>
      <w:r>
        <w:rPr>
          <w:rFonts w:hint="eastAsia"/>
          <w:kern w:val="2"/>
          <w:highlight w:val="none"/>
          <w:lang w:val="en-US" w:eastAsia="zh-CN"/>
        </w:rPr>
        <w:t xml:space="preserve"> n28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>UE into RAN5 specification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>.</w:t>
      </w:r>
    </w:p>
    <w:p w14:paraId="7D3F6924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4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Objective</w:t>
      </w:r>
    </w:p>
    <w:p w14:paraId="726E3FC9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4.1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SI or Core part WI or Testing part WI</w:t>
      </w:r>
    </w:p>
    <w:p w14:paraId="37FA5921">
      <w:pPr>
        <w:spacing w:after="0"/>
        <w:rPr>
          <w:bCs/>
          <w:highlight w:val="none"/>
        </w:rPr>
      </w:pPr>
      <w:r>
        <w:rPr>
          <w:kern w:val="2"/>
          <w:highlight w:val="none"/>
          <w:lang w:val="en-US"/>
        </w:rPr>
        <w:t>The objective of this RAN5 work item is to define the corresponding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rFonts w:hint="eastAsia"/>
          <w:kern w:val="2"/>
          <w:highlight w:val="none"/>
          <w:lang w:val="en-US" w:eastAsia="zh-CN"/>
        </w:rPr>
        <w:t xml:space="preserve">PC2 and </w:t>
      </w:r>
      <w:r>
        <w:rPr>
          <w:kern w:val="2"/>
          <w:highlight w:val="none"/>
          <w:lang w:val="en-US" w:eastAsia="zh-CN"/>
        </w:rPr>
        <w:t>40MHz Channel Bandwidth</w:t>
      </w:r>
      <w:r>
        <w:rPr>
          <w:rFonts w:hint="eastAsia"/>
          <w:kern w:val="2"/>
          <w:highlight w:val="none"/>
          <w:lang w:val="en-US" w:eastAsia="zh-CN"/>
        </w:rPr>
        <w:t xml:space="preserve"> n28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>UE conformance requirements, the test case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 xml:space="preserve">, applicability, test environment, </w:t>
      </w:r>
      <w:r>
        <w:rPr>
          <w:rFonts w:hint="eastAsia"/>
          <w:kern w:val="2"/>
          <w:highlight w:val="none"/>
          <w:lang w:val="en-US"/>
        </w:rPr>
        <w:t xml:space="preserve">test points </w:t>
      </w:r>
      <w:r>
        <w:rPr>
          <w:kern w:val="2"/>
          <w:highlight w:val="none"/>
          <w:lang w:val="en-US"/>
        </w:rPr>
        <w:t xml:space="preserve">and update the relevant conformance specifications for the </w:t>
      </w:r>
      <w:r>
        <w:rPr>
          <w:rFonts w:hint="eastAsia"/>
          <w:kern w:val="2"/>
          <w:highlight w:val="none"/>
          <w:lang w:val="en-US"/>
        </w:rPr>
        <w:t>R1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rFonts w:hint="eastAsia"/>
          <w:kern w:val="2"/>
          <w:highlight w:val="none"/>
          <w:lang w:val="en-US" w:eastAsia="zh-CN"/>
        </w:rPr>
        <w:t xml:space="preserve">PC2 and </w:t>
      </w:r>
      <w:r>
        <w:rPr>
          <w:kern w:val="2"/>
          <w:highlight w:val="none"/>
          <w:lang w:val="en-US" w:eastAsia="zh-CN"/>
        </w:rPr>
        <w:t>40MHz Channel Bandwidth</w:t>
      </w:r>
      <w:r>
        <w:rPr>
          <w:rFonts w:hint="eastAsia"/>
          <w:kern w:val="2"/>
          <w:highlight w:val="none"/>
          <w:lang w:val="en-US" w:eastAsia="zh-CN"/>
        </w:rPr>
        <w:t xml:space="preserve"> n28</w:t>
      </w:r>
      <w:r>
        <w:rPr>
          <w:rFonts w:hint="eastAsia"/>
          <w:kern w:val="2"/>
          <w:highlight w:val="none"/>
          <w:lang w:val="en-US"/>
        </w:rPr>
        <w:t xml:space="preserve"> UE</w:t>
      </w:r>
      <w:r>
        <w:rPr>
          <w:kern w:val="2"/>
          <w:highlight w:val="none"/>
          <w:lang w:val="en-US"/>
        </w:rPr>
        <w:t xml:space="preserve"> requirements introduced by RAN4.</w:t>
      </w:r>
    </w:p>
    <w:p w14:paraId="44BA047A">
      <w:pPr>
        <w:spacing w:after="0"/>
        <w:rPr>
          <w:rFonts w:hint="eastAsia"/>
          <w:bCs/>
          <w:highlight w:val="none"/>
        </w:rPr>
      </w:pPr>
    </w:p>
    <w:p w14:paraId="0D343D4B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4.2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Performance part WI</w:t>
      </w:r>
    </w:p>
    <w:p w14:paraId="22605D83">
      <w:pPr>
        <w:spacing w:after="0"/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7F2F4B55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4.3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RAN time budget request (not applicable to RAN5 WIs/SIs)</w:t>
      </w:r>
    </w:p>
    <w:p w14:paraId="33D1AB51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674799B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5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5B06F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352A8B2D">
            <w:pPr>
              <w:pStyle w:val="53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47E8A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FB80E3D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7F710C86"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A60F084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901278C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2D6BFE0A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19AD3913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 w14:paraId="12DE9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noWrap w:val="0"/>
            <w:vAlign w:val="top"/>
          </w:tcPr>
          <w:p w14:paraId="2CD97458"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24DA5404">
            <w:pPr>
              <w:pStyle w:val="53"/>
              <w:rPr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3F0257DF">
            <w:pPr>
              <w:pStyle w:val="53"/>
              <w:rPr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 w14:paraId="745DE557">
            <w:pPr>
              <w:pStyle w:val="53"/>
              <w:rPr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 w14:paraId="5FBB89B7">
            <w:pPr>
              <w:pStyle w:val="53"/>
              <w:rPr>
                <w:highlight w:val="none"/>
              </w:rPr>
            </w:pPr>
          </w:p>
        </w:tc>
        <w:tc>
          <w:tcPr>
            <w:tcW w:w="2186" w:type="dxa"/>
            <w:noWrap w:val="0"/>
            <w:vAlign w:val="top"/>
          </w:tcPr>
          <w:p w14:paraId="3502F5DF">
            <w:pPr>
              <w:pStyle w:val="53"/>
              <w:rPr>
                <w:highlight w:val="none"/>
              </w:rPr>
            </w:pPr>
          </w:p>
        </w:tc>
      </w:tr>
    </w:tbl>
    <w:p w14:paraId="69F65BBA"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By default a new specs can only be new for one of both parts.</w:t>
      </w: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1FBA4B1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1FC370B6">
            <w:pPr>
              <w:pStyle w:val="53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3378D1A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899CE20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680D163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rFonts w:ascii="Arial" w:hAnsi="Arial" w:eastAsia="宋体" w:cs="Times New Roman"/>
                <w:sz w:val="16"/>
                <w:szCs w:val="16"/>
                <w:highlight w:val="none"/>
                <w:lang w:val="en-GB" w:eastAsia="zh-CN" w:bidi="ar-SA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AF33F36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 w14:paraId="7F35C25A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tr w14:paraId="0645805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2CB33E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1F8C3C"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Definition of common environment for Rel-1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PC2 and </w:t>
            </w:r>
            <w:r>
              <w:rPr>
                <w:rFonts w:cs="Tahoma"/>
                <w:sz w:val="16"/>
                <w:szCs w:val="16"/>
                <w:lang w:val="en-US" w:eastAsia="zh-CN"/>
              </w:rPr>
              <w:t>40MHz Channel Bandwidth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 n28</w:t>
            </w:r>
            <w:r>
              <w:rPr>
                <w:rFonts w:hint="eastAsia" w:cs="Tahoma"/>
                <w:sz w:val="16"/>
                <w:szCs w:val="16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0E302D">
            <w:pPr>
              <w:spacing w:after="0"/>
              <w:rPr>
                <w:i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Feb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12977B">
            <w:pPr>
              <w:pStyle w:val="53"/>
              <w:rPr>
                <w:highlight w:val="none"/>
              </w:rPr>
            </w:pPr>
          </w:p>
        </w:tc>
      </w:tr>
      <w:tr w14:paraId="3B1BC50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186CCC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546A2F">
            <w:pPr>
              <w:pStyle w:val="53"/>
              <w:rPr>
                <w:rFonts w:hint="eastAsia" w:eastAsia="宋体" w:cs="Tahoma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cs="Tahoma"/>
                <w:sz w:val="16"/>
                <w:szCs w:val="16"/>
              </w:rPr>
              <w:t>Introduction of physical implementation capabilities for Rel-1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PC2 and </w:t>
            </w:r>
            <w:r>
              <w:rPr>
                <w:rFonts w:cs="Tahoma"/>
                <w:sz w:val="16"/>
                <w:szCs w:val="16"/>
                <w:lang w:val="en-US" w:eastAsia="zh-CN"/>
              </w:rPr>
              <w:t>40MHz Channel Bandwidth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 n28</w:t>
            </w:r>
            <w:r>
              <w:rPr>
                <w:rFonts w:hint="eastAsia" w:cs="Tahoma"/>
                <w:sz w:val="16"/>
                <w:szCs w:val="16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lang w:val="en-US"/>
              </w:rPr>
              <w:t>UE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B17A2C"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Feb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9F9A5A">
            <w:pPr>
              <w:pStyle w:val="53"/>
              <w:rPr>
                <w:highlight w:val="none"/>
              </w:rPr>
            </w:pPr>
          </w:p>
        </w:tc>
      </w:tr>
      <w:tr w14:paraId="021EE9E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32044E">
            <w:pPr>
              <w:pStyle w:val="53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13FF39">
            <w:pPr>
              <w:pStyle w:val="53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 xml:space="preserve">Introduction of 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RF test cases for </w:t>
            </w:r>
            <w:r>
              <w:rPr>
                <w:rFonts w:cs="Tahoma"/>
                <w:sz w:val="16"/>
                <w:szCs w:val="16"/>
              </w:rPr>
              <w:t>Rel-1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PC2 and </w:t>
            </w:r>
            <w:r>
              <w:rPr>
                <w:rFonts w:cs="Tahoma"/>
                <w:sz w:val="16"/>
                <w:szCs w:val="16"/>
                <w:lang w:val="en-US" w:eastAsia="zh-CN"/>
              </w:rPr>
              <w:t>40MHz Channel Bandwidth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 n28</w:t>
            </w:r>
            <w:r>
              <w:rPr>
                <w:rFonts w:hint="eastAsia" w:cs="Tahoma"/>
                <w:sz w:val="16"/>
                <w:szCs w:val="16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D3EF27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Feb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A7FE0A">
            <w:pPr>
              <w:pStyle w:val="53"/>
              <w:rPr>
                <w:highlight w:val="none"/>
              </w:rPr>
            </w:pPr>
          </w:p>
        </w:tc>
      </w:tr>
      <w:tr w14:paraId="489E80C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E72E59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25CFC3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 xml:space="preserve">Introduction of 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a</w:t>
            </w:r>
            <w:r>
              <w:rPr>
                <w:sz w:val="16"/>
                <w:szCs w:val="16"/>
              </w:rPr>
              <w:t>pplicability statements of the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cs="Tahoma"/>
                <w:sz w:val="16"/>
                <w:szCs w:val="16"/>
              </w:rPr>
              <w:t>Rel-1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PC2 and </w:t>
            </w:r>
            <w:r>
              <w:rPr>
                <w:rFonts w:cs="Tahoma"/>
                <w:sz w:val="16"/>
                <w:szCs w:val="16"/>
                <w:lang w:val="en-US" w:eastAsia="zh-CN"/>
              </w:rPr>
              <w:t>40MHz Channel Bandwidth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 n28</w:t>
            </w:r>
            <w:r>
              <w:rPr>
                <w:rFonts w:hint="eastAsia" w:cs="Tahoma"/>
                <w:sz w:val="16"/>
                <w:szCs w:val="16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</w:rPr>
              <w:t xml:space="preserve"> related</w:t>
            </w:r>
            <w:r>
              <w:rPr>
                <w:sz w:val="16"/>
                <w:szCs w:val="16"/>
              </w:rPr>
              <w:t xml:space="preserve">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BC9EF1"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Feb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BEB322">
            <w:pPr>
              <w:pStyle w:val="53"/>
              <w:rPr>
                <w:highlight w:val="none"/>
              </w:rPr>
            </w:pPr>
          </w:p>
        </w:tc>
      </w:tr>
      <w:tr w14:paraId="60853BD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6CD67B">
            <w:pPr>
              <w:pStyle w:val="53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70BF74">
            <w:pPr>
              <w:pStyle w:val="53"/>
              <w:rPr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Derivation of test points for Rel-1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PC2 and </w:t>
            </w:r>
            <w:r>
              <w:rPr>
                <w:rFonts w:cs="Tahoma"/>
                <w:sz w:val="16"/>
                <w:szCs w:val="16"/>
                <w:lang w:val="en-US" w:eastAsia="zh-CN"/>
              </w:rPr>
              <w:t>40MHz Channel Bandwidth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 n28</w:t>
            </w:r>
            <w:r>
              <w:rPr>
                <w:rFonts w:hint="eastAsia" w:cs="Tahoma"/>
                <w:sz w:val="16"/>
                <w:szCs w:val="16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</w:rPr>
              <w:t xml:space="preserve"> in radio transmission and reception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1C62B8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Feb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CAB6D0">
            <w:pPr>
              <w:pStyle w:val="53"/>
              <w:rPr>
                <w:highlight w:val="none"/>
              </w:rPr>
            </w:pPr>
          </w:p>
        </w:tc>
      </w:tr>
    </w:tbl>
    <w:p w14:paraId="16415CD0"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If an existing spec is affected by both (Core part and Perf. part), then it has to be listed twice with appropriate approval dates.</w:t>
      </w:r>
    </w:p>
    <w:p w14:paraId="4C67DD6D">
      <w:pPr>
        <w:rPr>
          <w:highlight w:val="none"/>
        </w:rPr>
      </w:pPr>
    </w:p>
    <w:p w14:paraId="3AD9058C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6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Rapporteur(s)</w:t>
      </w:r>
    </w:p>
    <w:p w14:paraId="16E01ED8">
      <w:pPr>
        <w:rPr>
          <w:rStyle w:val="49"/>
          <w:rFonts w:ascii="Arial" w:hAnsi="Arial" w:cs="Arial"/>
          <w:highlight w:val="none"/>
        </w:rPr>
      </w:pPr>
      <w:r>
        <w:rPr>
          <w:rFonts w:hint="eastAsia" w:ascii="Arial" w:hAnsi="Arial" w:cs="Arial"/>
          <w:highlight w:val="none"/>
        </w:rPr>
        <w:t>D</w:t>
      </w:r>
      <w:r>
        <w:rPr>
          <w:rFonts w:ascii="Arial" w:hAnsi="Arial" w:cs="Arial"/>
          <w:highlight w:val="none"/>
        </w:rPr>
        <w:t xml:space="preserve">an Song (CMCC),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"mailto:songdan@chinamobile.com" </w:instrText>
      </w:r>
      <w:r>
        <w:rPr>
          <w:highlight w:val="none"/>
        </w:rPr>
        <w:fldChar w:fldCharType="separate"/>
      </w:r>
      <w:r>
        <w:rPr>
          <w:rStyle w:val="49"/>
          <w:rFonts w:ascii="Arial" w:hAnsi="Arial" w:cs="Arial"/>
          <w:highlight w:val="none"/>
        </w:rPr>
        <w:t>songdan@chinamobile.com</w:t>
      </w:r>
      <w:r>
        <w:rPr>
          <w:rStyle w:val="49"/>
          <w:rFonts w:ascii="Arial" w:hAnsi="Arial" w:cs="Arial"/>
          <w:highlight w:val="none"/>
        </w:rPr>
        <w:fldChar w:fldCharType="end"/>
      </w:r>
    </w:p>
    <w:p w14:paraId="5F0A1572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7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leadership</w:t>
      </w:r>
    </w:p>
    <w:p w14:paraId="410D2B09">
      <w:pPr>
        <w:rPr>
          <w:highlight w:val="none"/>
        </w:rPr>
      </w:pPr>
      <w:r>
        <w:rPr>
          <w:rFonts w:hint="eastAsia"/>
          <w:highlight w:val="none"/>
        </w:rPr>
        <w:t>R</w:t>
      </w:r>
      <w:r>
        <w:rPr>
          <w:highlight w:val="none"/>
        </w:rPr>
        <w:t>AN5</w:t>
      </w:r>
    </w:p>
    <w:p w14:paraId="4633C54E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8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Aspects that involve other WGs</w:t>
      </w:r>
    </w:p>
    <w:p w14:paraId="247369B4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one</w:t>
      </w:r>
    </w:p>
    <w:p w14:paraId="06B3F35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9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6BCE9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  <w:noWrap w:val="0"/>
            <w:vAlign w:val="top"/>
          </w:tcPr>
          <w:p w14:paraId="0EF23072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 w14:paraId="72F8D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21D8940E"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>MCC</w:t>
            </w:r>
          </w:p>
        </w:tc>
      </w:tr>
      <w:tr w14:paraId="2BAFE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2E59DF69">
            <w:pPr>
              <w:pStyle w:val="53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CBN</w:t>
            </w:r>
          </w:p>
        </w:tc>
      </w:tr>
      <w:tr w14:paraId="4128E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528B08A9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Huawei</w:t>
            </w:r>
          </w:p>
        </w:tc>
      </w:tr>
      <w:tr w14:paraId="11B5C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4A54DB2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HiSilicon</w:t>
            </w:r>
          </w:p>
        </w:tc>
      </w:tr>
      <w:tr w14:paraId="51476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18885C9E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Orange</w:t>
            </w:r>
          </w:p>
        </w:tc>
      </w:tr>
      <w:tr w14:paraId="0CA08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6E4A539A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Sporton</w:t>
            </w:r>
          </w:p>
        </w:tc>
      </w:tr>
      <w:tr w14:paraId="6D2BE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550DF8ED">
            <w:pPr>
              <w:pStyle w:val="53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Telecom Italia</w:t>
            </w:r>
          </w:p>
        </w:tc>
      </w:tr>
      <w:tr w14:paraId="39289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404CBA58">
            <w:pPr>
              <w:pStyle w:val="53"/>
              <w:rPr>
                <w:rFonts w:hint="eastAsia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ZTE</w:t>
            </w:r>
          </w:p>
        </w:tc>
      </w:tr>
    </w:tbl>
    <w:p w14:paraId="7BB918B6">
      <w:pPr>
        <w:rPr>
          <w:highlight w:val="none"/>
        </w:rPr>
      </w:pPr>
      <w:bookmarkStart w:id="5" w:name="_GoBack"/>
      <w:bookmarkEnd w:id="5"/>
    </w:p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6052A"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A8E68CD"/>
    <w:multiLevelType w:val="multilevel"/>
    <w:tmpl w:val="7A8E68CD"/>
    <w:lvl w:ilvl="0" w:tentative="0">
      <w:start w:val="1"/>
      <w:numFmt w:val="bullet"/>
      <w:lvlText w:val=""/>
      <w:lvlJc w:val="left"/>
      <w:pPr>
        <w:ind w:left="440" w:hanging="44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footnote w:id="0"/>
    <w:footnote w:id="1"/>
  </w:foot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3CB9"/>
    <w:rsid w:val="001F7EB4"/>
    <w:rsid w:val="002000C2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7C3"/>
    <w:rsid w:val="00285FAE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47CAA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5CAE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366F0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76B"/>
    <w:rsid w:val="005973B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54B95"/>
    <w:rsid w:val="00863E89"/>
    <w:rsid w:val="00866E4B"/>
    <w:rsid w:val="00872B3B"/>
    <w:rsid w:val="00872B4B"/>
    <w:rsid w:val="0088222A"/>
    <w:rsid w:val="0088251C"/>
    <w:rsid w:val="00882BB6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8E4"/>
    <w:rsid w:val="009E6C21"/>
    <w:rsid w:val="009F7959"/>
    <w:rsid w:val="00A01CFF"/>
    <w:rsid w:val="00A10539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3F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32CD"/>
    <w:rsid w:val="00B14709"/>
    <w:rsid w:val="00B2743D"/>
    <w:rsid w:val="00B3015C"/>
    <w:rsid w:val="00B344D8"/>
    <w:rsid w:val="00B43959"/>
    <w:rsid w:val="00B52D2D"/>
    <w:rsid w:val="00B55FA0"/>
    <w:rsid w:val="00B567D1"/>
    <w:rsid w:val="00B629BC"/>
    <w:rsid w:val="00B73B4C"/>
    <w:rsid w:val="00B73F75"/>
    <w:rsid w:val="00B8483E"/>
    <w:rsid w:val="00B946CD"/>
    <w:rsid w:val="00B96481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2A1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715CA"/>
    <w:rsid w:val="00C7495D"/>
    <w:rsid w:val="00C77CE9"/>
    <w:rsid w:val="00C9486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CF6EE4"/>
    <w:rsid w:val="00D06117"/>
    <w:rsid w:val="00D24760"/>
    <w:rsid w:val="00D270CF"/>
    <w:rsid w:val="00D31CC8"/>
    <w:rsid w:val="00D32678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B08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5047"/>
    <w:rsid w:val="00FB127E"/>
    <w:rsid w:val="00FC0804"/>
    <w:rsid w:val="00FC19FD"/>
    <w:rsid w:val="00FC3B6D"/>
    <w:rsid w:val="00FD3A4E"/>
    <w:rsid w:val="00FF3F0C"/>
    <w:rsid w:val="00FF7D68"/>
    <w:rsid w:val="01CC22F5"/>
    <w:rsid w:val="01D25716"/>
    <w:rsid w:val="02734614"/>
    <w:rsid w:val="027D09BE"/>
    <w:rsid w:val="03F04E05"/>
    <w:rsid w:val="047B6F67"/>
    <w:rsid w:val="04CE70E5"/>
    <w:rsid w:val="05134D42"/>
    <w:rsid w:val="05852C9D"/>
    <w:rsid w:val="058C4826"/>
    <w:rsid w:val="065467ED"/>
    <w:rsid w:val="085417B6"/>
    <w:rsid w:val="0865038C"/>
    <w:rsid w:val="09AB55EB"/>
    <w:rsid w:val="0B112752"/>
    <w:rsid w:val="0B9E1A24"/>
    <w:rsid w:val="0BE71621"/>
    <w:rsid w:val="0C605AD8"/>
    <w:rsid w:val="0CCC4298"/>
    <w:rsid w:val="10C25842"/>
    <w:rsid w:val="11FF5A95"/>
    <w:rsid w:val="130242C5"/>
    <w:rsid w:val="13BE354D"/>
    <w:rsid w:val="14DC7147"/>
    <w:rsid w:val="157432E4"/>
    <w:rsid w:val="15C00DAC"/>
    <w:rsid w:val="16C54A69"/>
    <w:rsid w:val="16EA4CA9"/>
    <w:rsid w:val="172E14D7"/>
    <w:rsid w:val="17AC14CE"/>
    <w:rsid w:val="1862578F"/>
    <w:rsid w:val="18A37BB8"/>
    <w:rsid w:val="19AC65C5"/>
    <w:rsid w:val="1A2453EF"/>
    <w:rsid w:val="1ADD256D"/>
    <w:rsid w:val="1B5D63F1"/>
    <w:rsid w:val="1B9C5910"/>
    <w:rsid w:val="1BED245D"/>
    <w:rsid w:val="1D4C369E"/>
    <w:rsid w:val="1D7F4096"/>
    <w:rsid w:val="1D9E7C25"/>
    <w:rsid w:val="1DBE57A4"/>
    <w:rsid w:val="1DC348B1"/>
    <w:rsid w:val="1E073DD1"/>
    <w:rsid w:val="1E2C658F"/>
    <w:rsid w:val="1E6623D7"/>
    <w:rsid w:val="1EBC7B49"/>
    <w:rsid w:val="1F28772C"/>
    <w:rsid w:val="1F3C63CC"/>
    <w:rsid w:val="2026764F"/>
    <w:rsid w:val="20481C07"/>
    <w:rsid w:val="212A5BF7"/>
    <w:rsid w:val="238B1EDE"/>
    <w:rsid w:val="251A6CB5"/>
    <w:rsid w:val="25B81E8A"/>
    <w:rsid w:val="25ED24B7"/>
    <w:rsid w:val="25F330CF"/>
    <w:rsid w:val="2728771E"/>
    <w:rsid w:val="280C5191"/>
    <w:rsid w:val="28271E6C"/>
    <w:rsid w:val="289F0C32"/>
    <w:rsid w:val="28F039B6"/>
    <w:rsid w:val="29426A36"/>
    <w:rsid w:val="297A3E18"/>
    <w:rsid w:val="29CA4E9C"/>
    <w:rsid w:val="2A3263AB"/>
    <w:rsid w:val="2B20324F"/>
    <w:rsid w:val="2C43682A"/>
    <w:rsid w:val="2C4602D1"/>
    <w:rsid w:val="2CA3594A"/>
    <w:rsid w:val="2D29396D"/>
    <w:rsid w:val="2D444746"/>
    <w:rsid w:val="2D530865"/>
    <w:rsid w:val="2DBF2D37"/>
    <w:rsid w:val="2DE5166B"/>
    <w:rsid w:val="2EA4080B"/>
    <w:rsid w:val="2F1F5CDD"/>
    <w:rsid w:val="2F880A79"/>
    <w:rsid w:val="30697FFE"/>
    <w:rsid w:val="30955D5F"/>
    <w:rsid w:val="317D512B"/>
    <w:rsid w:val="31C97E3A"/>
    <w:rsid w:val="33E90EA0"/>
    <w:rsid w:val="34481AF5"/>
    <w:rsid w:val="34F528F0"/>
    <w:rsid w:val="360E6B9F"/>
    <w:rsid w:val="368E138D"/>
    <w:rsid w:val="36941198"/>
    <w:rsid w:val="37092303"/>
    <w:rsid w:val="375A77DC"/>
    <w:rsid w:val="384F5634"/>
    <w:rsid w:val="39E76D44"/>
    <w:rsid w:val="3AEC1C91"/>
    <w:rsid w:val="3B3618E7"/>
    <w:rsid w:val="3BA91503"/>
    <w:rsid w:val="3C6F5636"/>
    <w:rsid w:val="3CE26B8F"/>
    <w:rsid w:val="3CF06E89"/>
    <w:rsid w:val="3D6E1416"/>
    <w:rsid w:val="3EF63D5B"/>
    <w:rsid w:val="3F566DFD"/>
    <w:rsid w:val="3F756BE7"/>
    <w:rsid w:val="40962182"/>
    <w:rsid w:val="40BB01C3"/>
    <w:rsid w:val="41615903"/>
    <w:rsid w:val="42E313B2"/>
    <w:rsid w:val="431A4C54"/>
    <w:rsid w:val="43985FF2"/>
    <w:rsid w:val="44380DDF"/>
    <w:rsid w:val="44D45521"/>
    <w:rsid w:val="44F23779"/>
    <w:rsid w:val="454C0948"/>
    <w:rsid w:val="4586324F"/>
    <w:rsid w:val="465C267B"/>
    <w:rsid w:val="466B35E0"/>
    <w:rsid w:val="467D1D87"/>
    <w:rsid w:val="46F9283F"/>
    <w:rsid w:val="47C77051"/>
    <w:rsid w:val="49892535"/>
    <w:rsid w:val="4C7F348C"/>
    <w:rsid w:val="4CFF2AE1"/>
    <w:rsid w:val="4D2D2130"/>
    <w:rsid w:val="4E1F670D"/>
    <w:rsid w:val="4E4E76D0"/>
    <w:rsid w:val="4E917F66"/>
    <w:rsid w:val="4F342A81"/>
    <w:rsid w:val="4FAC61E2"/>
    <w:rsid w:val="4FAE4949"/>
    <w:rsid w:val="4FC214CB"/>
    <w:rsid w:val="503735A8"/>
    <w:rsid w:val="52016097"/>
    <w:rsid w:val="524C6CD0"/>
    <w:rsid w:val="53E0692D"/>
    <w:rsid w:val="55956954"/>
    <w:rsid w:val="55AF7D5C"/>
    <w:rsid w:val="55E83DF7"/>
    <w:rsid w:val="55EF668D"/>
    <w:rsid w:val="560B18D1"/>
    <w:rsid w:val="564571C2"/>
    <w:rsid w:val="56CA4E10"/>
    <w:rsid w:val="56DF3324"/>
    <w:rsid w:val="59047E99"/>
    <w:rsid w:val="591A7E3E"/>
    <w:rsid w:val="594F26CA"/>
    <w:rsid w:val="5BA474E8"/>
    <w:rsid w:val="5DA424B0"/>
    <w:rsid w:val="5E687C70"/>
    <w:rsid w:val="5EA65556"/>
    <w:rsid w:val="5F392547"/>
    <w:rsid w:val="5F51342E"/>
    <w:rsid w:val="604D240F"/>
    <w:rsid w:val="60657EC2"/>
    <w:rsid w:val="607A6933"/>
    <w:rsid w:val="609008FA"/>
    <w:rsid w:val="60B50CCE"/>
    <w:rsid w:val="6105633A"/>
    <w:rsid w:val="610747F4"/>
    <w:rsid w:val="62803947"/>
    <w:rsid w:val="64DC0CDE"/>
    <w:rsid w:val="65333E96"/>
    <w:rsid w:val="657A1460"/>
    <w:rsid w:val="658B4525"/>
    <w:rsid w:val="66911854"/>
    <w:rsid w:val="67980D82"/>
    <w:rsid w:val="69D20A2C"/>
    <w:rsid w:val="69FF49F3"/>
    <w:rsid w:val="6AF13082"/>
    <w:rsid w:val="6AF63433"/>
    <w:rsid w:val="6B0B1A2E"/>
    <w:rsid w:val="6BE86A4A"/>
    <w:rsid w:val="6E020B69"/>
    <w:rsid w:val="6EA252AF"/>
    <w:rsid w:val="6ED53C62"/>
    <w:rsid w:val="6ED9046A"/>
    <w:rsid w:val="70117FDD"/>
    <w:rsid w:val="71542D7C"/>
    <w:rsid w:val="71AE3371"/>
    <w:rsid w:val="71C233B0"/>
    <w:rsid w:val="7214323D"/>
    <w:rsid w:val="7281353B"/>
    <w:rsid w:val="73222073"/>
    <w:rsid w:val="736C78D3"/>
    <w:rsid w:val="736D15F4"/>
    <w:rsid w:val="73CE6FAD"/>
    <w:rsid w:val="74E10D4F"/>
    <w:rsid w:val="754F1383"/>
    <w:rsid w:val="75C42647"/>
    <w:rsid w:val="775C359E"/>
    <w:rsid w:val="79FC2CB0"/>
    <w:rsid w:val="7A6D55EE"/>
    <w:rsid w:val="7B1511FF"/>
    <w:rsid w:val="7BAD4DDA"/>
    <w:rsid w:val="7BC01697"/>
    <w:rsid w:val="7CDA2332"/>
    <w:rsid w:val="7DC06BDF"/>
    <w:rsid w:val="7E6D15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52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character" w:customStyle="1" w:styleId="52">
    <w:name w:val="Footer Char"/>
    <w:link w:val="35"/>
    <w:qFormat/>
    <w:uiPriority w:val="0"/>
    <w:rPr>
      <w:rFonts w:ascii="Arial" w:hAnsi="Arial" w:eastAsia="宋体"/>
      <w:b/>
      <w:i/>
      <w:sz w:val="18"/>
    </w:rPr>
  </w:style>
  <w:style w:type="paragraph" w:customStyle="1" w:styleId="53">
    <w:name w:val="TAL"/>
    <w:basedOn w:val="1"/>
    <w:link w:val="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4">
    <w:name w:val="TAL (文字)"/>
    <w:link w:val="53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3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53"/>
    <w:qFormat/>
    <w:uiPriority w:val="0"/>
    <w:pPr>
      <w:jc w:val="right"/>
    </w:pPr>
  </w:style>
  <w:style w:type="paragraph" w:customStyle="1" w:styleId="75">
    <w:name w:val="TAN"/>
    <w:basedOn w:val="53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9"/>
    <w:qFormat/>
    <w:uiPriority w:val="0"/>
  </w:style>
  <w:style w:type="paragraph" w:customStyle="1" w:styleId="88">
    <w:name w:val="B5"/>
    <w:basedOn w:val="38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3">
    <w:name w:val="_Style 92"/>
    <w:unhideWhenUsed/>
    <w:qFormat/>
    <w:uiPriority w:val="99"/>
    <w:rPr>
      <w:color w:val="605E5C"/>
      <w:shd w:val="clear" w:color="auto" w:fill="E1DFDD"/>
    </w:rPr>
  </w:style>
  <w:style w:type="paragraph" w:customStyle="1" w:styleId="94">
    <w:name w:val="_Style 93"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1475</Words>
  <Characters>8409</Characters>
  <Lines>70</Lines>
  <Paragraphs>19</Paragraphs>
  <TotalTime>231</TotalTime>
  <ScaleCrop>false</ScaleCrop>
  <LinksUpToDate>false</LinksUpToDate>
  <CharactersWithSpaces>9865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2024-01-29T05:20:00Z</dcterms:created>
  <dc:creator>MCC/Alain Sultan</dc:creator>
  <cp:keywords>WID template</cp:keywords>
  <cp:lastModifiedBy>Danni SONG(CMCC)</cp:lastModifiedBy>
  <cp:lastPrinted>2000-02-29T00:31:00Z</cp:lastPrinted>
  <dcterms:modified xsi:type="dcterms:W3CDTF">2025-02-08T08:48:52Z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
hWReh9O8OJEUlNJSGKb/zHCeRaZSlxUrWIpd385r5U0sWBRJdty1075wA3+HozrZcnW+OhOx
Tb4WhVquHd0cCuOlUyB/T1S/YemiJokdNtJDvcCXGghqvutaAOS9Lqjas/fFvfQv2xnacMiq
O7KdIukLcLbUoMxVtx</vt:lpwstr>
  </property>
  <property fmtid="{D5CDD505-2E9C-101B-9397-08002B2CF9AE}" pid="5" name="_2015_ms_pID_7253431">
    <vt:lpwstr>xiJ+gtB1jWu3M/FeUq0AdNwk84fFLtWBd38AzB6953I7Z5Yu3cepeM
FNjU2rRbOX20UITiUKN9pH4iuWZbpEaCyHbuqY5mV8ueT9YweT/k9I37/DymrZOR+hRU853p
i2hrigv+gSjbnJqpK0+ekC4eyhjzr7kHsllmocCsdYOCS8HF2jPpelGRi+ouyHLUTwPVONrX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2052-12.8.2.18205</vt:lpwstr>
  </property>
  <property fmtid="{D5CDD505-2E9C-101B-9397-08002B2CF9AE}" pid="12" name="ICV">
    <vt:lpwstr>108FF22E22BD4BFABE22DE608B44F4CE</vt:lpwstr>
  </property>
</Properties>
</file>